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74" w:tblpY="-4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84DB1" w:rsidRPr="00C1723E" w:rsidTr="000D122B">
        <w:trPr>
          <w:trHeight w:val="5969"/>
        </w:trPr>
        <w:tc>
          <w:tcPr>
            <w:tcW w:w="9889" w:type="dxa"/>
          </w:tcPr>
          <w:p w:rsidR="00884DB1" w:rsidRDefault="00884DB1" w:rsidP="000D122B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884DB1" w:rsidRPr="00894ED1" w:rsidRDefault="00884DB1" w:rsidP="000D122B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Додаток </w:t>
            </w:r>
          </w:p>
          <w:p w:rsidR="00884DB1" w:rsidRPr="00894ED1" w:rsidRDefault="00884DB1" w:rsidP="000D122B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89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до наказу керівника апарату</w:t>
            </w:r>
            <w:r w:rsidRPr="0089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ООАС</w:t>
            </w:r>
          </w:p>
          <w:p w:rsidR="00884DB1" w:rsidRPr="00894ED1" w:rsidRDefault="00884DB1" w:rsidP="000D122B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17.02.2022</w:t>
            </w:r>
            <w:r w:rsidRPr="00894ED1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>13</w:t>
            </w:r>
            <w:r w:rsidRPr="00894ED1">
              <w:rPr>
                <w:sz w:val="24"/>
                <w:szCs w:val="24"/>
                <w:lang w:eastAsia="en-US"/>
              </w:rPr>
              <w:t xml:space="preserve">-ОС/Д/А                                                                            </w:t>
            </w:r>
          </w:p>
          <w:p w:rsidR="00884DB1" w:rsidRPr="00894ED1" w:rsidRDefault="00884DB1" w:rsidP="000D122B">
            <w:pPr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894ED1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884DB1" w:rsidRPr="00894ED1" w:rsidRDefault="00884DB1" w:rsidP="000D12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84DB1" w:rsidRPr="007D7084" w:rsidRDefault="00884DB1" w:rsidP="000D122B">
            <w:pPr>
              <w:jc w:val="center"/>
              <w:rPr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 xml:space="preserve">УМОВИ </w:t>
            </w:r>
          </w:p>
          <w:p w:rsidR="00884DB1" w:rsidRDefault="00884DB1" w:rsidP="000D122B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484C">
              <w:rPr>
                <w:sz w:val="24"/>
                <w:szCs w:val="24"/>
                <w:lang w:eastAsia="en-US"/>
              </w:rPr>
              <w:t xml:space="preserve">проведення конкурсу </w:t>
            </w:r>
            <w:r w:rsidRPr="00224E55">
              <w:rPr>
                <w:sz w:val="24"/>
                <w:szCs w:val="24"/>
                <w:shd w:val="clear" w:color="auto" w:fill="FFFFFF"/>
              </w:rPr>
              <w:t>на зайняття вакантної</w:t>
            </w:r>
            <w:r w:rsidRPr="00224E55">
              <w:rPr>
                <w:shd w:val="clear" w:color="auto" w:fill="FFFFFF"/>
              </w:rPr>
              <w:t xml:space="preserve"> </w:t>
            </w:r>
            <w:r w:rsidRPr="00224E55">
              <w:rPr>
                <w:spacing w:val="-3"/>
                <w:sz w:val="24"/>
                <w:szCs w:val="24"/>
              </w:rPr>
              <w:t>посади</w:t>
            </w:r>
            <w:r w:rsidRPr="00224E55">
              <w:rPr>
                <w:sz w:val="24"/>
                <w:szCs w:val="24"/>
                <w:shd w:val="clear" w:color="auto" w:fill="FFFFFF"/>
              </w:rPr>
              <w:t xml:space="preserve"> заступника начальника відділу надання судово-адміністративних послуг та аналітичної роботи (канцелярія) </w:t>
            </w:r>
          </w:p>
          <w:p w:rsidR="00884DB1" w:rsidRPr="00894ED1" w:rsidRDefault="00884DB1" w:rsidP="000D122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24E55">
              <w:rPr>
                <w:spacing w:val="-3"/>
                <w:sz w:val="24"/>
                <w:szCs w:val="24"/>
              </w:rPr>
              <w:t>Одеського окружного адміністративного суду категорії «Б»</w:t>
            </w:r>
            <w:r>
              <w:t xml:space="preserve"> 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2424"/>
              <w:gridCol w:w="24"/>
              <w:gridCol w:w="6628"/>
            </w:tblGrid>
            <w:tr w:rsidR="00884DB1" w:rsidRPr="00894ED1" w:rsidTr="000D122B"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4DB1" w:rsidRPr="007D7084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D7084">
                    <w:rPr>
                      <w:sz w:val="24"/>
                      <w:szCs w:val="24"/>
                      <w:lang w:eastAsia="en-US"/>
                    </w:rPr>
                    <w:t>Загальні умови</w:t>
                  </w:r>
                </w:p>
              </w:tc>
            </w:tr>
            <w:tr w:rsidR="00884DB1" w:rsidRPr="00894ED1" w:rsidTr="000D122B">
              <w:trPr>
                <w:trHeight w:val="862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4DB1" w:rsidRPr="000645DF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645DF">
                    <w:rPr>
                      <w:sz w:val="24"/>
                      <w:szCs w:val="24"/>
                      <w:lang w:eastAsia="en-US"/>
                    </w:rPr>
                    <w:t>Посадові обов’язки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 </w:t>
                  </w:r>
                  <w:r w:rsidRPr="00E30C09">
                    <w:rPr>
                      <w:rFonts w:eastAsia="Times New Roman"/>
                      <w:sz w:val="24"/>
                      <w:szCs w:val="24"/>
                    </w:rPr>
                    <w:t xml:space="preserve">Забезпечує належний рівень трудової та виконавської дисципліни у відділі. 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 </w:t>
                  </w:r>
                  <w:r w:rsidRPr="00E30C09">
                    <w:rPr>
                      <w:rFonts w:eastAsia="Times New Roman"/>
                      <w:sz w:val="24"/>
                      <w:szCs w:val="24"/>
                    </w:rPr>
                    <w:t>Забезпечує зберігання документації відділу, що не стосується процесуальної діяльності суду. Організовує підготовку та передачу до архіву суду документації відділу за минулі роки.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 </w:t>
                  </w:r>
                  <w:r w:rsidRPr="00E30C09">
                    <w:rPr>
                      <w:rFonts w:eastAsia="Times New Roman"/>
                      <w:sz w:val="24"/>
                      <w:szCs w:val="24"/>
                    </w:rPr>
                    <w:t>Організовує роботу з оперативного прийому  вхідної кореспонденції  (заяв, клопотань, скарг тощо), що надходить до суду, та її розподілу. Організовує роботу з прийому, опрацювання, систематизації звернень громадян та юридичних осіб,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30C09">
                    <w:rPr>
                      <w:rFonts w:eastAsia="Times New Roman"/>
                      <w:sz w:val="24"/>
                      <w:szCs w:val="24"/>
                    </w:rPr>
                    <w:t xml:space="preserve">запитів на отримання публічної інформації. Організовує роботу із  своєчасного  внесення  до автоматизованої системи документообігу суду достовірних даних щодо позовних заяв та окремих заяв (клопотань). Організовує  роботу з вивчення й узагальнення судової практики.  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- </w:t>
                  </w:r>
                  <w:r w:rsidRPr="007D708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Здійснення </w:t>
                  </w:r>
                  <w:r w:rsidRPr="007D7084">
                    <w:rPr>
                      <w:rFonts w:eastAsia="Times New Roman"/>
                      <w:sz w:val="24"/>
                      <w:szCs w:val="24"/>
                    </w:rPr>
                    <w:t xml:space="preserve">контролю за веденням аналітичної та </w:t>
                  </w:r>
                  <w:proofErr w:type="spellStart"/>
                  <w:r w:rsidRPr="007D7084">
                    <w:rPr>
                      <w:rFonts w:eastAsia="Times New Roman"/>
                      <w:sz w:val="24"/>
                      <w:szCs w:val="24"/>
                    </w:rPr>
                    <w:t>довідково</w:t>
                  </w:r>
                  <w:proofErr w:type="spellEnd"/>
                  <w:r w:rsidRPr="007D7084">
                    <w:rPr>
                      <w:rFonts w:eastAsia="Times New Roman"/>
                      <w:sz w:val="24"/>
                      <w:szCs w:val="24"/>
                    </w:rPr>
                    <w:t xml:space="preserve">  - інформаційної роботи, проведенням та координацією заходів з вивчення й узагальнення судової практики, всебічного аналізу результатів діяльності суду відповідно до плану роботи та доручень керівництва суду.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 </w:t>
                  </w:r>
                  <w:r w:rsidRPr="007D7084">
                    <w:rPr>
                      <w:rFonts w:eastAsia="Times New Roman"/>
                      <w:sz w:val="24"/>
                      <w:szCs w:val="24"/>
                    </w:rPr>
                    <w:t>Організовує роботу із  своєчасного  внесення  до автоматизованої системи документообігу суду достовірних даних щодо позовних заяв та окремих заяв (клопотань).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 </w:t>
                  </w:r>
                  <w:r w:rsidRPr="007D7084">
                    <w:rPr>
                      <w:rFonts w:eastAsia="Times New Roman"/>
                      <w:sz w:val="24"/>
                      <w:szCs w:val="24"/>
                    </w:rPr>
                    <w:t xml:space="preserve"> Організовує роботу з надання учасникам  процесу інформації про хід та результати розгляду справ. Веде роз’яснювальну роботу з відвідувачами суду.  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-  </w:t>
                  </w:r>
                  <w:r w:rsidRPr="007D7084">
                    <w:rPr>
                      <w:rFonts w:eastAsia="Times New Roman"/>
                      <w:sz w:val="24"/>
                      <w:szCs w:val="24"/>
                    </w:rPr>
                    <w:t>Організов</w:t>
                  </w:r>
                  <w:proofErr w:type="spellEnd"/>
                  <w:r w:rsidRPr="007D7084">
                    <w:rPr>
                      <w:rFonts w:eastAsia="Times New Roman"/>
                      <w:sz w:val="24"/>
                      <w:szCs w:val="24"/>
                    </w:rPr>
                    <w:t>ує виконання та своєчасне подання необхідних форм звітності.</w:t>
                  </w:r>
                </w:p>
                <w:p w:rsidR="00884DB1" w:rsidRPr="00E30C09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</w:rPr>
                    <w:t>-  </w:t>
                  </w:r>
                  <w:r w:rsidRPr="007D7084">
                    <w:rPr>
                      <w:rFonts w:eastAsia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Проводи</w:t>
                  </w:r>
                  <w:proofErr w:type="spellEnd"/>
                  <w:r w:rsidRPr="007D7084">
                    <w:rPr>
                      <w:rFonts w:eastAsia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ть навчання зі співробітниками відділу та апарату суду</w:t>
                  </w:r>
                  <w:r>
                    <w:rPr>
                      <w:rFonts w:eastAsia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.</w:t>
                  </w:r>
                  <w:r w:rsidRPr="007D7084">
                    <w:rPr>
                      <w:rFonts w:eastAsia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84DB1" w:rsidRPr="00894ED1" w:rsidTr="000D122B"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4DB1" w:rsidRPr="000645DF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645DF">
                    <w:rPr>
                      <w:sz w:val="24"/>
                      <w:szCs w:val="24"/>
                      <w:lang w:eastAsia="en-US"/>
                    </w:rPr>
                    <w:t>Умови оплати праці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Default="00884DB1" w:rsidP="00E75694">
                  <w:pPr>
                    <w:framePr w:hSpace="180" w:wrap="around" w:vAnchor="text" w:hAnchor="margin" w:x="74" w:y="-41"/>
                    <w:ind w:left="64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94ED1">
                    <w:rPr>
                      <w:sz w:val="24"/>
                      <w:szCs w:val="24"/>
                      <w:lang w:eastAsia="en-US"/>
                    </w:rPr>
                    <w:t xml:space="preserve">   Посадовий оклад –</w:t>
                  </w:r>
                  <w:r w:rsidRPr="00E30C09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8980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>,00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грн.;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- надбавка до посадового окладу за ранг відповідно до  постанови Каб</w:t>
                  </w:r>
                  <w:r w:rsidRPr="0007484C">
                    <w:rPr>
                      <w:sz w:val="24"/>
                      <w:szCs w:val="24"/>
                      <w:lang w:eastAsia="en-US"/>
                    </w:rPr>
                    <w:t xml:space="preserve">інету Міністрів України від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18.01.2017 № 15 «Питання оплати праці працівників державних органів» 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(зі змінами); </w:t>
                  </w:r>
                </w:p>
                <w:p w:rsidR="00884DB1" w:rsidRPr="00E30C09" w:rsidRDefault="00884DB1" w:rsidP="00E75694">
                  <w:pPr>
                    <w:framePr w:hSpace="180" w:wrap="around" w:vAnchor="text" w:hAnchor="margin" w:x="74" w:y="-41"/>
                    <w:ind w:left="64"/>
                    <w:jc w:val="both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н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>адбавки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та доплати 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>відповідно до ста</w:t>
                  </w:r>
                  <w:r>
                    <w:rPr>
                      <w:sz w:val="24"/>
                      <w:szCs w:val="24"/>
                      <w:lang w:eastAsia="en-US"/>
                    </w:rPr>
                    <w:t>тті 52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 xml:space="preserve"> Закону України "Про державну службу"</w:t>
                  </w:r>
                </w:p>
              </w:tc>
            </w:tr>
            <w:tr w:rsidR="00884DB1" w:rsidRPr="00894ED1" w:rsidTr="000D122B"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4DB1" w:rsidRPr="000645DF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645DF">
                    <w:rPr>
                      <w:sz w:val="24"/>
                      <w:szCs w:val="24"/>
                      <w:lang w:eastAsia="en-US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F7747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безстрокове призначення </w:t>
                  </w:r>
                </w:p>
                <w:p w:rsidR="00884DB1" w:rsidRPr="00894ED1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84DB1" w:rsidRPr="00894ED1" w:rsidTr="000D122B">
              <w:trPr>
                <w:trHeight w:val="834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4DB1" w:rsidRPr="000645DF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645DF">
                    <w:rPr>
                      <w:sz w:val="24"/>
                      <w:szCs w:val="24"/>
                      <w:lang w:eastAsia="en-US"/>
                    </w:rPr>
                    <w:t>Перелік інформації, необхідної для участі в конкурсі, та строк її подання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564A20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</w:t>
                  </w: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1) заяву про участь у конкурсі із зазначенням основних </w:t>
                  </w: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мотивів щодо зайняття посади за формою згідно з </w:t>
                  </w:r>
                  <w:hyperlink r:id="rId7" w:anchor="n199" w:history="1">
                    <w:r w:rsidRPr="00564A20">
                      <w:rPr>
                        <w:rFonts w:eastAsia="Times New Roman"/>
                        <w:sz w:val="24"/>
                        <w:szCs w:val="24"/>
                        <w:lang w:eastAsia="uk-UA"/>
                      </w:rPr>
                      <w:t>додатком 2</w:t>
                    </w:r>
                  </w:hyperlink>
                  <w:r w:rsidRPr="00564A2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(зі змінами);</w:t>
                  </w: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2) резюме за формою згідно з </w:t>
                  </w:r>
                  <w:r w:rsidRPr="00564A2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додатком 2</w:t>
                  </w:r>
                  <w:r w:rsidRPr="00564A20">
                    <w:rPr>
                      <w:rFonts w:eastAsia="Times New Roman"/>
                      <w:b/>
                      <w:bCs/>
                      <w:sz w:val="24"/>
                      <w:szCs w:val="24"/>
                      <w:vertAlign w:val="superscript"/>
                      <w:lang w:eastAsia="uk-UA"/>
                    </w:rPr>
                    <w:t>-1</w:t>
                  </w:r>
                  <w:r w:rsidRPr="00564A2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,</w:t>
                  </w: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 якому обов’язково зазначається така інформація:</w:t>
                  </w: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- прізвище, ім’я, по батькові кандидата;</w:t>
                  </w: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- реквізити документа, що посвідчує особу та підтверджує громадянство України;</w:t>
                  </w:r>
                </w:p>
                <w:p w:rsidR="00884DB1" w:rsidRPr="00E75D5D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- підтвердження наявності відповідного ступеня вищої освіти;</w:t>
                  </w:r>
                </w:p>
                <w:p w:rsidR="00884DB1" w:rsidRPr="00E75D5D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      </w:r>
                </w:p>
                <w:p w:rsidR="00884DB1" w:rsidRPr="00E75D5D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- відомості про стаж роботи, стаж державної служби (за наявності), досвід роботи на відповідних посадах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у відповідній сфері, визначені</w:t>
                  </w: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 умовах конкурсу;</w:t>
                  </w: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3) заяву, в якій повідомляє, що до неї не </w:t>
                  </w:r>
                  <w:r w:rsidRPr="00E75D5D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застосовуються заборони, визначені частиною </w:t>
                  </w:r>
                  <w:hyperlink r:id="rId8" w:anchor="n13" w:tgtFrame="_blank" w:history="1">
                    <w:r w:rsidRPr="00E75D5D">
                      <w:rPr>
                        <w:rFonts w:eastAsia="Times New Roman"/>
                        <w:sz w:val="24"/>
                        <w:szCs w:val="24"/>
                        <w:lang w:eastAsia="uk-UA"/>
                      </w:rPr>
                      <w:t>третьою</w:t>
                    </w:r>
                  </w:hyperlink>
                  <w:r w:rsidRPr="00E75D5D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або </w:t>
                  </w:r>
                  <w:hyperlink r:id="rId9" w:anchor="n14" w:tgtFrame="_blank" w:history="1">
                    <w:r w:rsidRPr="00E75D5D">
                      <w:rPr>
                        <w:rFonts w:eastAsia="Times New Roman"/>
                        <w:sz w:val="24"/>
                        <w:szCs w:val="24"/>
                        <w:lang w:eastAsia="uk-UA"/>
                      </w:rPr>
                      <w:t>четвертою</w:t>
                    </w:r>
                  </w:hyperlink>
                  <w:r w:rsidRPr="00E75D5D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статті 1 Закону України «Про очищення влади», та надає</w:t>
                  </w: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884DB1" w:rsidRPr="00E75D5D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Подача додатків до заяви не є обов’язковою.</w:t>
                  </w:r>
                </w:p>
                <w:p w:rsidR="00884DB1" w:rsidRPr="00BC4465" w:rsidRDefault="00884DB1" w:rsidP="00E75694">
                  <w:pPr>
                    <w:framePr w:hSpace="180" w:wrap="around" w:vAnchor="text" w:hAnchor="margin" w:x="74" w:y="-41"/>
                    <w:shd w:val="clear" w:color="auto" w:fill="FFFFFF"/>
                    <w:ind w:right="-15"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Документи приймаються до 16.00 год.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28 лютого 2022 року</w:t>
                  </w:r>
                </w:p>
              </w:tc>
            </w:tr>
            <w:tr w:rsidR="00884DB1" w:rsidRPr="00894ED1" w:rsidTr="000D122B">
              <w:trPr>
                <w:trHeight w:val="352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4DB1" w:rsidRPr="008110FF" w:rsidRDefault="00884DB1" w:rsidP="00E75694">
                  <w:pPr>
                    <w:framePr w:hSpace="180" w:wrap="around" w:vAnchor="text" w:hAnchor="margin" w:x="74" w:y="-41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110FF">
                    <w:rPr>
                      <w:sz w:val="24"/>
                      <w:szCs w:val="24"/>
                      <w:lang w:eastAsia="en-US"/>
                    </w:rPr>
                    <w:lastRenderedPageBreak/>
                    <w:t>Додаткові (не обов’язкові)</w:t>
                  </w:r>
                </w:p>
                <w:p w:rsidR="00884DB1" w:rsidRPr="00894ED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110FF">
                    <w:rPr>
                      <w:sz w:val="24"/>
                      <w:szCs w:val="24"/>
                      <w:lang w:eastAsia="en-US"/>
                    </w:rPr>
                    <w:t>документи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564A20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sz w:val="24"/>
                      <w:szCs w:val="24"/>
                      <w:lang w:eastAsia="en-US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  <w:tr w:rsidR="00884DB1" w:rsidRPr="00894ED1" w:rsidTr="000D122B">
              <w:trPr>
                <w:trHeight w:val="805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>Дата і час початку проведення тестування кандидатів</w:t>
                  </w:r>
                </w:p>
                <w:p w:rsidR="00884DB1" w:rsidRPr="007D4433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>Місце або спосіб проведення тестування</w:t>
                  </w: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Pr="002F7747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 xml:space="preserve">Місце або спосіб проведення </w:t>
                  </w:r>
                  <w:r w:rsidRPr="002F7747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розв’яз</w:t>
                  </w:r>
                  <w:r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ання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с</w:t>
                  </w:r>
                  <w:r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итуаційних завдань</w:t>
                  </w: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>Місце або спосіб проведення співбесіди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</w:t>
                  </w:r>
                  <w:r w:rsidRPr="007D4433">
                    <w:rPr>
                      <w:sz w:val="24"/>
                      <w:szCs w:val="24"/>
                      <w:lang w:eastAsia="en-US"/>
                    </w:rPr>
                    <w:t xml:space="preserve"> (із зазначенням електронної платформи для комунікації дистанційно)</w:t>
                  </w: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Pr="00894ED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564A20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Pr="002F151C" w:rsidRDefault="00884DB1" w:rsidP="00E75694">
                  <w:pPr>
                    <w:framePr w:hSpace="180" w:wrap="around" w:vAnchor="text" w:hAnchor="margin" w:x="74" w:y="-41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04 березня 2022 року о</w:t>
                  </w:r>
                  <w:r w:rsidRPr="002F151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10</w:t>
                  </w:r>
                  <w:r w:rsidRPr="002F151C">
                    <w:rPr>
                      <w:sz w:val="24"/>
                      <w:szCs w:val="24"/>
                      <w:lang w:eastAsia="en-US"/>
                    </w:rPr>
                    <w:t>:00 год.</w:t>
                  </w: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84DB1" w:rsidRPr="00403CD0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 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Одеса, вул. </w:t>
                  </w:r>
                  <w:proofErr w:type="spellStart"/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Фонтанська</w:t>
                  </w:r>
                  <w:proofErr w:type="spellEnd"/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 дорога, 14</w:t>
                  </w:r>
                  <w:r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403CD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(проведення тестування за фізичної присутності кандидатів)</w:t>
                  </w: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884DB1" w:rsidRPr="00403CD0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884DB1" w:rsidRPr="00403CD0" w:rsidRDefault="00884DB1" w:rsidP="00E7569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 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Одеса, вул. </w:t>
                  </w:r>
                  <w:proofErr w:type="spellStart"/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Фонтанська</w:t>
                  </w:r>
                  <w:proofErr w:type="spellEnd"/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 дорога, 14</w:t>
                  </w:r>
                  <w:r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403CD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(проведення співбесіди за фізичної присутності кандидатів)</w:t>
                  </w:r>
                </w:p>
                <w:p w:rsidR="00884DB1" w:rsidRPr="00403CD0" w:rsidRDefault="00884DB1" w:rsidP="00E7569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84DB1" w:rsidRPr="00403CD0" w:rsidRDefault="00884DB1" w:rsidP="00E7569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84DB1" w:rsidRPr="00403CD0" w:rsidRDefault="00884DB1" w:rsidP="00E7569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 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Одеса вул. </w:t>
                  </w:r>
                  <w:proofErr w:type="spellStart"/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Фонтанська</w:t>
                  </w:r>
                  <w:proofErr w:type="spellEnd"/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 дорога, 14</w:t>
                  </w:r>
                  <w:r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403CD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403CD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(проведення співбесіди за фізичної присутності кандидатів)</w:t>
                  </w: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 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Одеса,</w:t>
                  </w:r>
                  <w:r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вул. </w:t>
                  </w:r>
                  <w:proofErr w:type="spellStart"/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Фонтанська</w:t>
                  </w:r>
                  <w:proofErr w:type="spellEnd"/>
                  <w:r w:rsidRPr="00403CD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 дорога, 14</w:t>
                  </w:r>
                  <w:r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403CD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(проведення співбесіди за фізичної присутності кандидатів)</w:t>
                  </w:r>
                </w:p>
                <w:p w:rsidR="00884DB1" w:rsidRPr="00403CD0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84DB1" w:rsidRPr="00894ED1" w:rsidTr="000D122B">
              <w:trPr>
                <w:trHeight w:val="2662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4DB1" w:rsidRPr="007D4433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lastRenderedPageBreak/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Pr="00564A20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64A20">
                    <w:rPr>
                      <w:sz w:val="24"/>
                      <w:szCs w:val="24"/>
                      <w:lang w:eastAsia="en-US"/>
                    </w:rPr>
                    <w:t>Кисилівська</w:t>
                  </w:r>
                  <w:proofErr w:type="spellEnd"/>
                  <w:r w:rsidRPr="00564A20">
                    <w:rPr>
                      <w:sz w:val="24"/>
                      <w:szCs w:val="24"/>
                      <w:lang w:eastAsia="en-US"/>
                    </w:rPr>
                    <w:t xml:space="preserve"> Алла Євгеніївна</w:t>
                  </w: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sz w:val="24"/>
                      <w:szCs w:val="24"/>
                      <w:lang w:eastAsia="en-US"/>
                    </w:rPr>
                    <w:t>телефон  (048) 705-57-76</w:t>
                  </w: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sz w:val="24"/>
                      <w:szCs w:val="24"/>
                      <w:lang w:eastAsia="en-US"/>
                    </w:rPr>
                    <w:t>inbox@adm.od.court.gov.ua</w:t>
                  </w: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884DB1" w:rsidRPr="00564A20" w:rsidRDefault="00884DB1" w:rsidP="00E75694">
                  <w:pPr>
                    <w:framePr w:hSpace="180" w:wrap="around" w:vAnchor="text" w:hAnchor="margin" w:x="74" w:y="-4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84DB1" w:rsidRPr="00894ED1" w:rsidTr="000D122B">
              <w:trPr>
                <w:trHeight w:val="375"/>
              </w:trPr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7D4433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7D4433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Кваліфікаційні вимоги</w:t>
                  </w:r>
                </w:p>
              </w:tc>
            </w:tr>
            <w:tr w:rsidR="00884DB1" w:rsidRPr="00894ED1" w:rsidTr="000D122B">
              <w:trPr>
                <w:trHeight w:val="300"/>
              </w:trPr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Pr="007E7215" w:rsidRDefault="00884DB1" w:rsidP="00E75694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12"/>
                    </w:numP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E721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Освіта 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DB1" w:rsidRPr="005E4030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</w:rPr>
                  </w:pPr>
                  <w:r w:rsidRPr="005E4030">
                    <w:rPr>
                      <w:sz w:val="24"/>
                      <w:szCs w:val="24"/>
                    </w:rPr>
                    <w:t>Вища освіта ступеня Магістр (або прирівняна до неї вища освіта за освітньо-кваліфікаційним рівнем спеціаліста) в галузі знань «Право»</w:t>
                  </w:r>
                </w:p>
                <w:p w:rsidR="00884DB1" w:rsidRPr="005E4030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84DB1" w:rsidRPr="00894ED1" w:rsidTr="000D122B">
              <w:trPr>
                <w:trHeight w:val="451"/>
              </w:trPr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Pr="007E7215" w:rsidRDefault="00884DB1" w:rsidP="00E75694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12"/>
                    </w:numP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E721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Досвід роботи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DB1" w:rsidRPr="005E4030" w:rsidRDefault="00884DB1" w:rsidP="00E75694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4030">
                    <w:rPr>
                      <w:color w:val="000000"/>
                      <w:sz w:val="24"/>
                      <w:szCs w:val="24"/>
                    </w:rPr>
                    <w:t>На посадах державної служби категорії «Б» чи «В», досвід служби в органах місцевого самоврядування або досвід роботи на керівних посадах підприємств, установ та організацій незалежно від форми власності не менше 2 років</w:t>
                  </w:r>
                </w:p>
              </w:tc>
            </w:tr>
            <w:tr w:rsidR="00884DB1" w:rsidRPr="00F77178" w:rsidTr="000D122B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7E7215" w:rsidRDefault="00884DB1" w:rsidP="00E75694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12"/>
                    </w:numP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Володіння державною мовою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5F675F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Вільне володіння державною мовою </w:t>
                  </w:r>
                </w:p>
              </w:tc>
            </w:tr>
            <w:tr w:rsidR="00884DB1" w:rsidRPr="00F77178" w:rsidTr="000D122B"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Pr="00A1747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7471">
                    <w:rPr>
                      <w:b/>
                      <w:sz w:val="24"/>
                      <w:szCs w:val="24"/>
                    </w:rPr>
                    <w:t>Вимоги до компетентності</w:t>
                  </w:r>
                </w:p>
              </w:tc>
            </w:tr>
            <w:tr w:rsidR="00884DB1" w:rsidRPr="00F77178" w:rsidTr="000D122B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Pr="00A1747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7471">
                    <w:rPr>
                      <w:b/>
                      <w:sz w:val="24"/>
                      <w:szCs w:val="24"/>
                    </w:rPr>
                    <w:t>Вимога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Pr="00A1747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7471">
                    <w:rPr>
                      <w:b/>
                      <w:sz w:val="24"/>
                      <w:szCs w:val="24"/>
                    </w:rPr>
                    <w:t>Компоненти вимоги</w:t>
                  </w:r>
                </w:p>
              </w:tc>
            </w:tr>
            <w:tr w:rsidR="00884DB1" w:rsidRPr="00F77178" w:rsidTr="000D122B">
              <w:trPr>
                <w:trHeight w:val="1532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1.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E721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Досягнення результатів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</w:t>
                  </w: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датність до чіткого бачення результату діяльності;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</w:t>
                  </w: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міння фокусувати зусилля для досягнення результату діяльності;</w:t>
                  </w:r>
                </w:p>
                <w:p w:rsidR="00884DB1" w:rsidRPr="00F77178" w:rsidRDefault="00884DB1" w:rsidP="00E75694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</w:t>
                  </w:r>
                  <w:r w:rsidRPr="007E721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міння запобігати та ефективно долати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перешкоди</w:t>
                  </w:r>
                </w:p>
              </w:tc>
            </w:tr>
            <w:tr w:rsidR="00884DB1" w:rsidRPr="00F77178" w:rsidTr="000D122B">
              <w:trPr>
                <w:trHeight w:val="2219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2.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Відповідальність 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у</w:t>
                  </w: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свідомлення важливості якісного виконання своїх посадових обов’язків з дотриманням строків та встановлених процедур;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у</w:t>
                  </w: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      </w: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</w:t>
                  </w: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датність брати на себе зобов’язання, чітко їх дотримуватись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і</w:t>
                  </w: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виконувати.</w:t>
                  </w:r>
                </w:p>
              </w:tc>
            </w:tr>
            <w:tr w:rsidR="00884DB1" w:rsidRPr="00F77178" w:rsidTr="000D122B">
              <w:trPr>
                <w:trHeight w:val="1675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3.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Стресостійкість</w:t>
                  </w:r>
                  <w:proofErr w:type="spellEnd"/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вміння управляти своїми емоціями;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здатність до самоконтролю;</w:t>
                  </w:r>
                </w:p>
                <w:p w:rsidR="00884DB1" w:rsidRDefault="00884DB1" w:rsidP="00E75694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здатність до конструктивного ставлення до зворотного зв’язку, зокрема критики;</w:t>
                  </w:r>
                </w:p>
                <w:p w:rsidR="00884DB1" w:rsidRPr="00504C27" w:rsidRDefault="00884DB1" w:rsidP="00E75694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оптимізм </w:t>
                  </w:r>
                </w:p>
              </w:tc>
            </w:tr>
            <w:tr w:rsidR="00884DB1" w:rsidRPr="00F77178" w:rsidTr="000D122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F77178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4.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F77178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Цифрова грамотність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5E7EBB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F77178">
                    <w:rPr>
                      <w:rFonts w:eastAsia="Times New Roman"/>
                      <w:sz w:val="24"/>
                      <w:szCs w:val="24"/>
                    </w:rPr>
                    <w:t>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ind w:left="360"/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F77178">
                    <w:rPr>
                      <w:rFonts w:eastAsia="Times New Roman"/>
                      <w:sz w:val="24"/>
                      <w:szCs w:val="24"/>
                    </w:rPr>
                    <w:t xml:space="preserve">міння використовувати сервіс </w:t>
                  </w:r>
                  <w:proofErr w:type="spellStart"/>
                  <w:r w:rsidRPr="00F77178">
                    <w:rPr>
                      <w:rFonts w:eastAsia="Times New Roman"/>
                      <w:sz w:val="24"/>
                      <w:szCs w:val="24"/>
                    </w:rPr>
                    <w:t>інтернету</w:t>
                  </w:r>
                  <w:proofErr w:type="spellEnd"/>
                  <w:r w:rsidRPr="00F77178">
                    <w:rPr>
                      <w:rFonts w:eastAsia="Times New Roman"/>
                      <w:sz w:val="24"/>
                      <w:szCs w:val="24"/>
                    </w:rPr>
      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/>
                    </w:rPr>
                    <w:t>з</w:t>
                  </w:r>
                  <w:proofErr w:type="spellStart"/>
                  <w:r w:rsidRPr="00F77178">
                    <w:rPr>
                      <w:rFonts w:eastAsia="Times New Roman"/>
                      <w:sz w:val="24"/>
                      <w:szCs w:val="24"/>
                    </w:rPr>
                    <w:t>датність</w:t>
                  </w:r>
                  <w:proofErr w:type="spellEnd"/>
                  <w:r w:rsidRPr="00F77178">
                    <w:rPr>
                      <w:rFonts w:eastAsia="Times New Roman"/>
                      <w:sz w:val="24"/>
                      <w:szCs w:val="24"/>
                    </w:rPr>
                    <w:t xml:space="preserve"> працювати з документами в </w:t>
                  </w:r>
                  <w:proofErr w:type="gramStart"/>
                  <w:r w:rsidRPr="00F77178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F77178">
                    <w:rPr>
                      <w:rFonts w:eastAsia="Times New Roman"/>
                      <w:sz w:val="24"/>
                      <w:szCs w:val="24"/>
                    </w:rPr>
                    <w:t xml:space="preserve">ізних цифрових форматах; зберігати, накопичувати, впорядковувати, </w:t>
                  </w:r>
                  <w:r w:rsidRPr="00F77178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архівувати цифрові ресурси та дані річних типів;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F77178">
                    <w:rPr>
                      <w:rFonts w:eastAsia="Times New Roman"/>
                      <w:sz w:val="24"/>
                      <w:szCs w:val="24"/>
                    </w:rPr>
                    <w:t>датність уникати небезпек в цифровому середовищі, захищати особисті та конфіденційні дані;</w:t>
                  </w:r>
                </w:p>
                <w:p w:rsidR="00884DB1" w:rsidRPr="00504C27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F77178">
                    <w:rPr>
                      <w:rFonts w:eastAsia="Times New Roman"/>
                      <w:sz w:val="24"/>
                      <w:szCs w:val="24"/>
                    </w:rPr>
                    <w:t>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F77178">
                    <w:rPr>
                      <w:rFonts w:eastAsia="Times New Roman"/>
                      <w:sz w:val="24"/>
                      <w:szCs w:val="24"/>
                    </w:rPr>
                    <w:t xml:space="preserve">міти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F77178">
                    <w:rPr>
                      <w:rFonts w:eastAsia="Times New Roman"/>
                      <w:sz w:val="24"/>
                      <w:szCs w:val="24"/>
                    </w:rPr>
                    <w:t>ористуватись кваліфікованим електронним підписом (КЕП);</w:t>
                  </w:r>
                </w:p>
                <w:p w:rsidR="00884DB1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F77178">
                    <w:rPr>
                      <w:rFonts w:eastAsia="Times New Roman"/>
                      <w:sz w:val="24"/>
                      <w:szCs w:val="24"/>
                    </w:rPr>
                    <w:t>датність використовувати відкриті цифрові ресурси для власного професійного розвитку.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98228D" w:rsidRPr="00F77178" w:rsidTr="000D122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228D" w:rsidRDefault="00E75694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bookmarkStart w:id="0" w:name="_GoBack" w:colFirst="0" w:colLast="2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5.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228D" w:rsidRPr="0098228D" w:rsidRDefault="0098228D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Лідерство</w:t>
                  </w:r>
                </w:p>
                <w:p w:rsidR="0098228D" w:rsidRPr="00F77178" w:rsidRDefault="0098228D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75694" w:rsidRDefault="00E75694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-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міння мотивувати до ефективної професійної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98228D" w:rsidRPr="0098228D" w:rsidRDefault="00E75694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  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діяльності</w:t>
                  </w:r>
                  <w:r w:rsid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98228D" w:rsidRPr="0098228D" w:rsidRDefault="00E75694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 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-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с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прияння всебічному розвитку особистості</w:t>
                  </w:r>
                  <w:r w:rsid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E75694" w:rsidRDefault="00E75694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-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міння делегувати повноваження та управляти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98228D" w:rsidRPr="0098228D" w:rsidRDefault="00E75694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  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результатами діяльності</w:t>
                  </w:r>
                  <w:r w:rsid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E75694" w:rsidRDefault="00E75694" w:rsidP="00E75694">
                  <w:pPr>
                    <w:framePr w:hSpace="180" w:wrap="around" w:vAnchor="text" w:hAnchor="margin" w:x="74" w:y="-41"/>
                    <w:contextualSpacing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-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датність до формування ефективної організаційної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98228D" w:rsidRDefault="00E75694" w:rsidP="00E75694">
                  <w:pPr>
                    <w:framePr w:hSpace="180" w:wrap="around" w:vAnchor="text" w:hAnchor="margin" w:x="74" w:y="-41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  </w:t>
                  </w:r>
                  <w:r w:rsidR="0098228D" w:rsidRPr="0098228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культури державної служби</w:t>
                  </w:r>
                  <w:r w:rsidR="008E34A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bookmarkEnd w:id="0"/>
            <w:tr w:rsidR="00884DB1" w:rsidRPr="00F77178" w:rsidTr="000D122B"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615C4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615C41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Професійні знання</w:t>
                  </w:r>
                </w:p>
              </w:tc>
            </w:tr>
            <w:tr w:rsidR="00884DB1" w:rsidRPr="00F77178" w:rsidTr="000D122B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615C4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615C41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Вимога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615C41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615C41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Компетентні вимоги</w:t>
                  </w:r>
                </w:p>
              </w:tc>
            </w:tr>
            <w:tr w:rsidR="00884DB1" w:rsidRPr="00F77178" w:rsidTr="000D122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F77178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F77178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Знання законодавства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Конституції України;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Закону України «Про державну службу»;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Закону України «Про запобігання корупції»</w:t>
                  </w:r>
                </w:p>
              </w:tc>
            </w:tr>
            <w:tr w:rsidR="00884DB1" w:rsidRPr="00F77178" w:rsidTr="000D122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F77178" w:rsidRDefault="00884DB1" w:rsidP="00E7569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F77178" w:rsidRDefault="00884DB1" w:rsidP="00E7569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Знання законодавства у сфері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4DB1" w:rsidRPr="00504C27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504C27">
                    <w:rPr>
                      <w:rFonts w:eastAsia="Times New Roman"/>
                      <w:sz w:val="24"/>
                      <w:szCs w:val="24"/>
                    </w:rPr>
                    <w:t>Кодекс адміністративного судочинства України;</w:t>
                  </w:r>
                </w:p>
                <w:p w:rsidR="00884DB1" w:rsidRPr="00504C27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504C27">
                    <w:rPr>
                      <w:rFonts w:eastAsia="Times New Roman"/>
                      <w:sz w:val="24"/>
                      <w:szCs w:val="24"/>
                    </w:rPr>
                    <w:t xml:space="preserve">Закон України </w:t>
                  </w:r>
                  <w:r w:rsidRPr="00504C27">
                    <w:rPr>
                      <w:sz w:val="24"/>
                      <w:szCs w:val="24"/>
                    </w:rPr>
                    <w:t>«Про звернення громадян»</w:t>
                  </w:r>
                  <w:r w:rsidRPr="00504C27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:rsidR="00884DB1" w:rsidRPr="00504C27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504C27">
                    <w:rPr>
                      <w:rFonts w:eastAsia="Times New Roman"/>
                      <w:sz w:val="24"/>
                      <w:szCs w:val="24"/>
                    </w:rPr>
                    <w:t>Закон України «Про судовий збір»;</w:t>
                  </w:r>
                </w:p>
                <w:p w:rsidR="00884DB1" w:rsidRPr="00F77178" w:rsidRDefault="00884DB1" w:rsidP="00E7569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4C27">
                    <w:rPr>
                      <w:rFonts w:eastAsia="Times New Roman"/>
                      <w:sz w:val="24"/>
                      <w:szCs w:val="24"/>
                    </w:rPr>
                    <w:t>Інструкція з діловодства в місцевих та апеляційних судах України, затверджена наказом ДСА України 20.08.2019 № 814 (зі змінами).</w:t>
                  </w:r>
                </w:p>
              </w:tc>
            </w:tr>
          </w:tbl>
          <w:p w:rsidR="00884DB1" w:rsidRPr="00C1723E" w:rsidRDefault="00884DB1" w:rsidP="000D122B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884DB1" w:rsidTr="000D122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89" w:type="dxa"/>
          </w:tcPr>
          <w:p w:rsidR="00884DB1" w:rsidRDefault="00884DB1" w:rsidP="000D122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84DB1" w:rsidRDefault="00884DB1" w:rsidP="00884DB1">
      <w:pPr>
        <w:autoSpaceDE w:val="0"/>
        <w:autoSpaceDN w:val="0"/>
        <w:adjustRightInd w:val="0"/>
        <w:jc w:val="both"/>
      </w:pPr>
    </w:p>
    <w:p w:rsidR="0098228D" w:rsidRDefault="0098228D" w:rsidP="00884DB1">
      <w:pPr>
        <w:autoSpaceDE w:val="0"/>
        <w:autoSpaceDN w:val="0"/>
        <w:adjustRightInd w:val="0"/>
        <w:jc w:val="both"/>
      </w:pPr>
    </w:p>
    <w:p w:rsidR="00174A22" w:rsidRDefault="00174A22" w:rsidP="0092277D">
      <w:pPr>
        <w:autoSpaceDE w:val="0"/>
        <w:autoSpaceDN w:val="0"/>
        <w:adjustRightInd w:val="0"/>
        <w:spacing w:line="480" w:lineRule="auto"/>
        <w:jc w:val="both"/>
        <w:rPr>
          <w:rFonts w:eastAsia="Times New Roman"/>
          <w:sz w:val="24"/>
          <w:szCs w:val="24"/>
        </w:rPr>
      </w:pPr>
    </w:p>
    <w:p w:rsidR="00174A22" w:rsidRPr="00174A22" w:rsidRDefault="00174A22" w:rsidP="0092277D">
      <w:pPr>
        <w:autoSpaceDE w:val="0"/>
        <w:autoSpaceDN w:val="0"/>
        <w:adjustRightInd w:val="0"/>
        <w:spacing w:line="480" w:lineRule="auto"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-4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1723E" w:rsidRPr="00C1723E" w:rsidTr="005E7EBB">
        <w:trPr>
          <w:trHeight w:val="5969"/>
        </w:trPr>
        <w:tc>
          <w:tcPr>
            <w:tcW w:w="9889" w:type="dxa"/>
          </w:tcPr>
          <w:p w:rsidR="00C1723E" w:rsidRPr="00C1723E" w:rsidRDefault="00C1723E" w:rsidP="00884DB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Cs/>
                <w:sz w:val="28"/>
                <w:szCs w:val="28"/>
              </w:rPr>
            </w:pPr>
          </w:p>
        </w:tc>
      </w:tr>
    </w:tbl>
    <w:p w:rsidR="00884DB1" w:rsidRDefault="00884DB1">
      <w:pPr>
        <w:autoSpaceDE w:val="0"/>
        <w:autoSpaceDN w:val="0"/>
        <w:adjustRightInd w:val="0"/>
        <w:jc w:val="both"/>
      </w:pPr>
    </w:p>
    <w:sectPr w:rsidR="00884DB1" w:rsidSect="00A93F4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5C529B"/>
    <w:multiLevelType w:val="hybridMultilevel"/>
    <w:tmpl w:val="4BA8DE0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5C06"/>
    <w:multiLevelType w:val="hybridMultilevel"/>
    <w:tmpl w:val="0A8ABC14"/>
    <w:lvl w:ilvl="0" w:tplc="45948EAE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B304019"/>
    <w:multiLevelType w:val="hybridMultilevel"/>
    <w:tmpl w:val="29CCFC54"/>
    <w:lvl w:ilvl="0" w:tplc="145EB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4F26"/>
    <w:multiLevelType w:val="hybridMultilevel"/>
    <w:tmpl w:val="82D0EB8A"/>
    <w:lvl w:ilvl="0" w:tplc="54E8DC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6541"/>
    <w:multiLevelType w:val="hybridMultilevel"/>
    <w:tmpl w:val="CFE0469A"/>
    <w:lvl w:ilvl="0" w:tplc="DBB682E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364BB"/>
    <w:multiLevelType w:val="hybridMultilevel"/>
    <w:tmpl w:val="D86E99B4"/>
    <w:lvl w:ilvl="0" w:tplc="61601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20BD8"/>
    <w:multiLevelType w:val="hybridMultilevel"/>
    <w:tmpl w:val="C554E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45E5"/>
    <w:multiLevelType w:val="hybridMultilevel"/>
    <w:tmpl w:val="D8B6785C"/>
    <w:lvl w:ilvl="0" w:tplc="71BCCCCA">
      <w:start w:val="1"/>
      <w:numFmt w:val="decimal"/>
      <w:lvlText w:val="%1)"/>
      <w:lvlJc w:val="left"/>
      <w:pPr>
        <w:ind w:left="792" w:hanging="360"/>
      </w:pPr>
    </w:lvl>
    <w:lvl w:ilvl="1" w:tplc="04220019">
      <w:start w:val="1"/>
      <w:numFmt w:val="lowerLetter"/>
      <w:lvlText w:val="%2."/>
      <w:lvlJc w:val="left"/>
      <w:pPr>
        <w:ind w:left="1512" w:hanging="360"/>
      </w:pPr>
    </w:lvl>
    <w:lvl w:ilvl="2" w:tplc="0422001B">
      <w:start w:val="1"/>
      <w:numFmt w:val="lowerRoman"/>
      <w:lvlText w:val="%3."/>
      <w:lvlJc w:val="right"/>
      <w:pPr>
        <w:ind w:left="2232" w:hanging="180"/>
      </w:pPr>
    </w:lvl>
    <w:lvl w:ilvl="3" w:tplc="0422000F">
      <w:start w:val="1"/>
      <w:numFmt w:val="decimal"/>
      <w:lvlText w:val="%4."/>
      <w:lvlJc w:val="left"/>
      <w:pPr>
        <w:ind w:left="2952" w:hanging="360"/>
      </w:pPr>
    </w:lvl>
    <w:lvl w:ilvl="4" w:tplc="04220019">
      <w:start w:val="1"/>
      <w:numFmt w:val="lowerLetter"/>
      <w:lvlText w:val="%5."/>
      <w:lvlJc w:val="left"/>
      <w:pPr>
        <w:ind w:left="3672" w:hanging="360"/>
      </w:pPr>
    </w:lvl>
    <w:lvl w:ilvl="5" w:tplc="0422001B">
      <w:start w:val="1"/>
      <w:numFmt w:val="lowerRoman"/>
      <w:lvlText w:val="%6."/>
      <w:lvlJc w:val="right"/>
      <w:pPr>
        <w:ind w:left="4392" w:hanging="180"/>
      </w:pPr>
    </w:lvl>
    <w:lvl w:ilvl="6" w:tplc="0422000F">
      <w:start w:val="1"/>
      <w:numFmt w:val="decimal"/>
      <w:lvlText w:val="%7."/>
      <w:lvlJc w:val="left"/>
      <w:pPr>
        <w:ind w:left="5112" w:hanging="360"/>
      </w:pPr>
    </w:lvl>
    <w:lvl w:ilvl="7" w:tplc="04220019">
      <w:start w:val="1"/>
      <w:numFmt w:val="lowerLetter"/>
      <w:lvlText w:val="%8."/>
      <w:lvlJc w:val="left"/>
      <w:pPr>
        <w:ind w:left="5832" w:hanging="360"/>
      </w:pPr>
    </w:lvl>
    <w:lvl w:ilvl="8" w:tplc="0422001B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C8F36E4"/>
    <w:multiLevelType w:val="hybridMultilevel"/>
    <w:tmpl w:val="7A06A862"/>
    <w:lvl w:ilvl="0" w:tplc="0338D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750D4"/>
    <w:multiLevelType w:val="hybridMultilevel"/>
    <w:tmpl w:val="8E9EEF98"/>
    <w:lvl w:ilvl="0" w:tplc="0422000F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4" w:hanging="360"/>
      </w:pPr>
    </w:lvl>
    <w:lvl w:ilvl="2" w:tplc="0422001B" w:tentative="1">
      <w:start w:val="1"/>
      <w:numFmt w:val="lowerRoman"/>
      <w:lvlText w:val="%3."/>
      <w:lvlJc w:val="right"/>
      <w:pPr>
        <w:ind w:left="2104" w:hanging="180"/>
      </w:pPr>
    </w:lvl>
    <w:lvl w:ilvl="3" w:tplc="0422000F" w:tentative="1">
      <w:start w:val="1"/>
      <w:numFmt w:val="decimal"/>
      <w:lvlText w:val="%4."/>
      <w:lvlJc w:val="left"/>
      <w:pPr>
        <w:ind w:left="2824" w:hanging="360"/>
      </w:pPr>
    </w:lvl>
    <w:lvl w:ilvl="4" w:tplc="04220019" w:tentative="1">
      <w:start w:val="1"/>
      <w:numFmt w:val="lowerLetter"/>
      <w:lvlText w:val="%5."/>
      <w:lvlJc w:val="left"/>
      <w:pPr>
        <w:ind w:left="3544" w:hanging="360"/>
      </w:pPr>
    </w:lvl>
    <w:lvl w:ilvl="5" w:tplc="0422001B" w:tentative="1">
      <w:start w:val="1"/>
      <w:numFmt w:val="lowerRoman"/>
      <w:lvlText w:val="%6."/>
      <w:lvlJc w:val="right"/>
      <w:pPr>
        <w:ind w:left="4264" w:hanging="180"/>
      </w:pPr>
    </w:lvl>
    <w:lvl w:ilvl="6" w:tplc="0422000F" w:tentative="1">
      <w:start w:val="1"/>
      <w:numFmt w:val="decimal"/>
      <w:lvlText w:val="%7."/>
      <w:lvlJc w:val="left"/>
      <w:pPr>
        <w:ind w:left="4984" w:hanging="360"/>
      </w:pPr>
    </w:lvl>
    <w:lvl w:ilvl="7" w:tplc="04220019" w:tentative="1">
      <w:start w:val="1"/>
      <w:numFmt w:val="lowerLetter"/>
      <w:lvlText w:val="%8."/>
      <w:lvlJc w:val="left"/>
      <w:pPr>
        <w:ind w:left="5704" w:hanging="360"/>
      </w:pPr>
    </w:lvl>
    <w:lvl w:ilvl="8" w:tplc="0422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6DD8448C"/>
    <w:multiLevelType w:val="hybridMultilevel"/>
    <w:tmpl w:val="7F463B02"/>
    <w:lvl w:ilvl="0" w:tplc="1DE67F7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F487687"/>
    <w:multiLevelType w:val="hybridMultilevel"/>
    <w:tmpl w:val="DC287BD4"/>
    <w:lvl w:ilvl="0" w:tplc="9F24BBAA">
      <w:start w:val="1"/>
      <w:numFmt w:val="decimal"/>
      <w:lvlText w:val="%1)"/>
      <w:lvlJc w:val="left"/>
      <w:pPr>
        <w:ind w:left="480" w:hanging="360"/>
      </w:p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F361D92"/>
    <w:multiLevelType w:val="hybridMultilevel"/>
    <w:tmpl w:val="84C01CBA"/>
    <w:lvl w:ilvl="0" w:tplc="E3C0F8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9"/>
  </w:num>
  <w:num w:numId="14">
    <w:abstractNumId w:val="4"/>
  </w:num>
  <w:num w:numId="15">
    <w:abstractNumId w:val="17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D"/>
    <w:rsid w:val="00034472"/>
    <w:rsid w:val="00036BCA"/>
    <w:rsid w:val="00036E59"/>
    <w:rsid w:val="000371BA"/>
    <w:rsid w:val="00040507"/>
    <w:rsid w:val="00042B58"/>
    <w:rsid w:val="0004723B"/>
    <w:rsid w:val="000645DF"/>
    <w:rsid w:val="0006693F"/>
    <w:rsid w:val="00072AB2"/>
    <w:rsid w:val="00073E72"/>
    <w:rsid w:val="0007484C"/>
    <w:rsid w:val="000C6D6B"/>
    <w:rsid w:val="000D0DBD"/>
    <w:rsid w:val="000E55EB"/>
    <w:rsid w:val="000F7EE5"/>
    <w:rsid w:val="00113363"/>
    <w:rsid w:val="00120B4B"/>
    <w:rsid w:val="00122D56"/>
    <w:rsid w:val="001745F6"/>
    <w:rsid w:val="00174A22"/>
    <w:rsid w:val="0018718F"/>
    <w:rsid w:val="001A0D6D"/>
    <w:rsid w:val="001A1EA2"/>
    <w:rsid w:val="001A1F13"/>
    <w:rsid w:val="001A2FBA"/>
    <w:rsid w:val="001C0C21"/>
    <w:rsid w:val="001D27A4"/>
    <w:rsid w:val="001D50A4"/>
    <w:rsid w:val="001F128A"/>
    <w:rsid w:val="002020E9"/>
    <w:rsid w:val="0021288E"/>
    <w:rsid w:val="00220484"/>
    <w:rsid w:val="00224E55"/>
    <w:rsid w:val="00254205"/>
    <w:rsid w:val="00265B0C"/>
    <w:rsid w:val="002954AB"/>
    <w:rsid w:val="002A5465"/>
    <w:rsid w:val="002B3BEC"/>
    <w:rsid w:val="002B5EB8"/>
    <w:rsid w:val="002B6B22"/>
    <w:rsid w:val="002E28E9"/>
    <w:rsid w:val="002F151C"/>
    <w:rsid w:val="002F7747"/>
    <w:rsid w:val="00300C18"/>
    <w:rsid w:val="003014CC"/>
    <w:rsid w:val="00317138"/>
    <w:rsid w:val="00317BB7"/>
    <w:rsid w:val="003745AC"/>
    <w:rsid w:val="003747E0"/>
    <w:rsid w:val="0037778B"/>
    <w:rsid w:val="00392428"/>
    <w:rsid w:val="003B4FE9"/>
    <w:rsid w:val="003B7685"/>
    <w:rsid w:val="003C229C"/>
    <w:rsid w:val="003E383A"/>
    <w:rsid w:val="003E5D57"/>
    <w:rsid w:val="003F4FE8"/>
    <w:rsid w:val="00403CD0"/>
    <w:rsid w:val="00413809"/>
    <w:rsid w:val="004167CB"/>
    <w:rsid w:val="00456EE0"/>
    <w:rsid w:val="00465547"/>
    <w:rsid w:val="00470B82"/>
    <w:rsid w:val="00481A1F"/>
    <w:rsid w:val="00483A97"/>
    <w:rsid w:val="00487473"/>
    <w:rsid w:val="004A62A9"/>
    <w:rsid w:val="004D3809"/>
    <w:rsid w:val="004F5E8F"/>
    <w:rsid w:val="004F7642"/>
    <w:rsid w:val="004F7A73"/>
    <w:rsid w:val="00500569"/>
    <w:rsid w:val="00504C27"/>
    <w:rsid w:val="00512CE9"/>
    <w:rsid w:val="00532838"/>
    <w:rsid w:val="005377FA"/>
    <w:rsid w:val="00546C3C"/>
    <w:rsid w:val="00552B74"/>
    <w:rsid w:val="00554857"/>
    <w:rsid w:val="00564A20"/>
    <w:rsid w:val="005B40CC"/>
    <w:rsid w:val="005C3840"/>
    <w:rsid w:val="005E39AC"/>
    <w:rsid w:val="005E4030"/>
    <w:rsid w:val="005E50FB"/>
    <w:rsid w:val="005E7EBB"/>
    <w:rsid w:val="005F3584"/>
    <w:rsid w:val="00600B38"/>
    <w:rsid w:val="00604C69"/>
    <w:rsid w:val="00615C41"/>
    <w:rsid w:val="006177A9"/>
    <w:rsid w:val="006235E2"/>
    <w:rsid w:val="006256EA"/>
    <w:rsid w:val="006442AC"/>
    <w:rsid w:val="00650549"/>
    <w:rsid w:val="006555C5"/>
    <w:rsid w:val="00666B72"/>
    <w:rsid w:val="0069193A"/>
    <w:rsid w:val="006A7D41"/>
    <w:rsid w:val="006E64BF"/>
    <w:rsid w:val="006F04FD"/>
    <w:rsid w:val="007025B2"/>
    <w:rsid w:val="0072754F"/>
    <w:rsid w:val="0073254F"/>
    <w:rsid w:val="00741BBA"/>
    <w:rsid w:val="00744836"/>
    <w:rsid w:val="007614DB"/>
    <w:rsid w:val="00771988"/>
    <w:rsid w:val="00777B86"/>
    <w:rsid w:val="0078413E"/>
    <w:rsid w:val="007934AA"/>
    <w:rsid w:val="00797379"/>
    <w:rsid w:val="007D4433"/>
    <w:rsid w:val="007D7084"/>
    <w:rsid w:val="007D7B76"/>
    <w:rsid w:val="007E1EC2"/>
    <w:rsid w:val="007E7215"/>
    <w:rsid w:val="008105B5"/>
    <w:rsid w:val="008110FF"/>
    <w:rsid w:val="00817E62"/>
    <w:rsid w:val="00824E06"/>
    <w:rsid w:val="00832512"/>
    <w:rsid w:val="00850CAE"/>
    <w:rsid w:val="008608FA"/>
    <w:rsid w:val="00872CD7"/>
    <w:rsid w:val="00884DB1"/>
    <w:rsid w:val="00894ED1"/>
    <w:rsid w:val="008A1334"/>
    <w:rsid w:val="008A5530"/>
    <w:rsid w:val="008B7123"/>
    <w:rsid w:val="008D0511"/>
    <w:rsid w:val="008E34A5"/>
    <w:rsid w:val="008F366D"/>
    <w:rsid w:val="009047D8"/>
    <w:rsid w:val="0091632B"/>
    <w:rsid w:val="0092277D"/>
    <w:rsid w:val="00930B4F"/>
    <w:rsid w:val="009425B6"/>
    <w:rsid w:val="009502FD"/>
    <w:rsid w:val="0098228D"/>
    <w:rsid w:val="0098589A"/>
    <w:rsid w:val="009903F5"/>
    <w:rsid w:val="009A1C27"/>
    <w:rsid w:val="009A3159"/>
    <w:rsid w:val="009B0530"/>
    <w:rsid w:val="009E6DD3"/>
    <w:rsid w:val="00A0263A"/>
    <w:rsid w:val="00A062F6"/>
    <w:rsid w:val="00A17471"/>
    <w:rsid w:val="00A24840"/>
    <w:rsid w:val="00A273C9"/>
    <w:rsid w:val="00A350DE"/>
    <w:rsid w:val="00A407DB"/>
    <w:rsid w:val="00A45199"/>
    <w:rsid w:val="00A61CC3"/>
    <w:rsid w:val="00A702D8"/>
    <w:rsid w:val="00A80BD5"/>
    <w:rsid w:val="00A85DED"/>
    <w:rsid w:val="00A93F47"/>
    <w:rsid w:val="00AB0AB4"/>
    <w:rsid w:val="00AE1BCD"/>
    <w:rsid w:val="00AE3C2B"/>
    <w:rsid w:val="00B134B6"/>
    <w:rsid w:val="00B13B67"/>
    <w:rsid w:val="00B243BC"/>
    <w:rsid w:val="00B476F0"/>
    <w:rsid w:val="00B62DBE"/>
    <w:rsid w:val="00B80D77"/>
    <w:rsid w:val="00BC4465"/>
    <w:rsid w:val="00BD13A0"/>
    <w:rsid w:val="00BE3AE0"/>
    <w:rsid w:val="00BF6FE4"/>
    <w:rsid w:val="00C146FF"/>
    <w:rsid w:val="00C157A2"/>
    <w:rsid w:val="00C1723E"/>
    <w:rsid w:val="00C235E1"/>
    <w:rsid w:val="00C2529E"/>
    <w:rsid w:val="00C42904"/>
    <w:rsid w:val="00C4679A"/>
    <w:rsid w:val="00C51301"/>
    <w:rsid w:val="00C5384D"/>
    <w:rsid w:val="00C65233"/>
    <w:rsid w:val="00C653F8"/>
    <w:rsid w:val="00C71942"/>
    <w:rsid w:val="00CA4085"/>
    <w:rsid w:val="00CB6A0F"/>
    <w:rsid w:val="00CC427B"/>
    <w:rsid w:val="00CD25C7"/>
    <w:rsid w:val="00CD2DE1"/>
    <w:rsid w:val="00CD52DE"/>
    <w:rsid w:val="00CE05CE"/>
    <w:rsid w:val="00D00648"/>
    <w:rsid w:val="00D15C5A"/>
    <w:rsid w:val="00D21BC7"/>
    <w:rsid w:val="00D22032"/>
    <w:rsid w:val="00D60AA5"/>
    <w:rsid w:val="00D73D09"/>
    <w:rsid w:val="00D76427"/>
    <w:rsid w:val="00DA28F4"/>
    <w:rsid w:val="00DA6276"/>
    <w:rsid w:val="00DE11C5"/>
    <w:rsid w:val="00DE6305"/>
    <w:rsid w:val="00E12A76"/>
    <w:rsid w:val="00E157B0"/>
    <w:rsid w:val="00E15A85"/>
    <w:rsid w:val="00E251CD"/>
    <w:rsid w:val="00E30C09"/>
    <w:rsid w:val="00E44186"/>
    <w:rsid w:val="00E445F1"/>
    <w:rsid w:val="00E53E0E"/>
    <w:rsid w:val="00E56E1D"/>
    <w:rsid w:val="00E72A51"/>
    <w:rsid w:val="00E75694"/>
    <w:rsid w:val="00E75D5D"/>
    <w:rsid w:val="00E859AD"/>
    <w:rsid w:val="00E96CFC"/>
    <w:rsid w:val="00EA6B58"/>
    <w:rsid w:val="00EC0DF0"/>
    <w:rsid w:val="00EF3C66"/>
    <w:rsid w:val="00F34200"/>
    <w:rsid w:val="00F46CF2"/>
    <w:rsid w:val="00F60A4B"/>
    <w:rsid w:val="00F6240E"/>
    <w:rsid w:val="00F62872"/>
    <w:rsid w:val="00F7344B"/>
    <w:rsid w:val="00F8391D"/>
    <w:rsid w:val="00F9600F"/>
    <w:rsid w:val="00F963C5"/>
    <w:rsid w:val="00F96A22"/>
    <w:rsid w:val="00FA3087"/>
    <w:rsid w:val="00FD2024"/>
    <w:rsid w:val="00FF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AA87-2159-4932-B9D0-FF551F5A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</Pages>
  <Words>5549</Words>
  <Characters>3164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m.zhavoronkova</dc:creator>
  <cp:lastModifiedBy>Алла Киселевская</cp:lastModifiedBy>
  <cp:revision>114</cp:revision>
  <cp:lastPrinted>2021-11-15T15:08:00Z</cp:lastPrinted>
  <dcterms:created xsi:type="dcterms:W3CDTF">2019-08-28T12:44:00Z</dcterms:created>
  <dcterms:modified xsi:type="dcterms:W3CDTF">2022-02-17T15:50:00Z</dcterms:modified>
</cp:coreProperties>
</file>